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1"/>
        <w:tblW w:w="10365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2160"/>
        <w:gridCol w:w="8205"/>
        <w:tblGridChange w:id="0">
          <w:tblGrid>
            <w:gridCol w:w="2160"/>
            <w:gridCol w:w="8205"/>
          </w:tblGrid>
        </w:tblGridChange>
      </w:tblGrid>
      <w:tr>
        <w:trPr>
          <w:trHeight w:val="900" w:hRule="atLeast"/>
        </w:trPr>
        <w:tc>
          <w:tcPr>
            <w:gridSpan w:val="2"/>
            <w:shd w:fill="19bab6"/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نـبـذة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عــن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المــقــرر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76275" cy="762000"/>
                  <wp:effectExtent b="0" l="0" r="0" t="0"/>
                  <wp:docPr descr="نبذة عن المقرر.png" id="1" name="image01.png"/>
                  <a:graphic>
                    <a:graphicData uri="http://schemas.openxmlformats.org/drawingml/2006/picture">
                      <pic:pic>
                        <pic:nvPicPr>
                          <pic:cNvPr descr="نبذة عن المقرر.pn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عبارة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ملخص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سوف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يتعلمه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المواضيع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الرئيسية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يشملها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تركز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النبذة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ملخص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المقرر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المواضيع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الرئيسية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يشملها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المقرر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اسلوب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المطبق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المقرر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الرئيسي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مثال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الواجبات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المناقشة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الامتحانات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